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124 vom 29. April 2026</w:t>
      </w:r>
    </w:p>
    <w:p>
      <w:r>
        <w:t>GR Gerichte, 2026-04-29, IT</w:t>
      </w:r>
    </w:p>
    <w:p>
      <w:r>
        <w:rPr>
          <w:b/>
        </w:rPr>
        <w:t xml:space="preserve">Quelle: </w:t>
      </w:r>
      <w:r>
        <w:t>https://mcp.opencaselaw.ch/entscheid/gr_gerichte_SBK 2025 124</w:t>
      </w:r>
    </w:p>
    <w:p>
      <w:r>
        <w:t>FR: GR_GERICHTE SBK 2025 124 du 29 avril 2026</w:t>
      </w:r>
    </w:p>
    <w:p>
      <w:r>
        <w:t>IT: GR_GERICHTE SBK 2025 124 del 29 aprile 2026</w:t>
      </w:r>
    </w:p>
    <w:p>
      <w:pPr>
        <w:pStyle w:val="Heading2"/>
      </w:pPr>
      <w:r>
        <w:t>Erwägungen</w:t>
      </w:r>
    </w:p>
    <w:p>
      <w:r>
        <w:rPr>
          <w:b/>
        </w:rPr>
        <w:t>E. 1</w:t>
      </w:r>
    </w:p>
    <w:p>
      <w:r>
        <w:t>Il Tribunale regionale motiva la revoca del decreto di sequestro con la circostanza di avere constatato – dopo la notificazione del medesimo – che il debitore sarebbe domiciliato in Svizzera. La causa di sequestro di cui all'art. 271 cpv. 4 LEF non sarebbe quindi data. Il ragionamento dell'autorità precedente non può essere condiviso. Nella sua istanza di sequestro la creditrice ha sufficientemente reso verosimile l'assenza di dimora in Svizzera del debitore e la procedura dinnanzi al giudice del sequestro non è retta dalla massima inquisitoria. Spetta semmai al debitore contestare in sede di opposizione la presunta assenza di un motivo di sequestro.</w:t>
      </w:r>
    </w:p>
    <w:p>
      <w:r>
        <w:rPr>
          <w:b/>
        </w:rPr>
        <w:t>E. 2</w:t>
      </w:r>
    </w:p>
    <w:p>
      <w:r>
        <w:t>Alla luce di quanto precede il reclamo va quindi accolto e la causa ritornata al Tribunale regionale affinché emani un nuovo decreto di sequestro.</w:t>
      </w:r>
    </w:p>
    <w:p>
      <w:r>
        <w:rPr>
          <w:b/>
        </w:rPr>
        <w:t>E. 3</w:t>
      </w:r>
    </w:p>
    <w:p>
      <w:r>
        <w:t>La tassa di giustizia fissata in applicazione in CHF 500.00 è posta a carico del Cantone dei Grigioni (Tribunale regionale Maloja; art. 107 cpv. 2 CPC), e l'importo di CHF 2'000.00 versato dalla reclamante quale anticipo delle spese le va restituito.</w:t>
      </w:r>
    </w:p>
    <w:p>
      <w:r>
        <w:rPr>
          <w:b/>
        </w:rPr>
        <w:t>E. 4</w:t>
      </w:r>
    </w:p>
    <w:p>
      <w:r>
        <w:t>Quanto alle ripetibili si giustifica – in assenza di una nota d'onorario – di fissare le medesime discrezionalmente in CHF 500.00 e di porle a carico del Cantone dei Grigioni (Tribunale regionale Maloja; art. 107 cpv. 2 CPC).</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